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5BBE6" w14:textId="30E7AF4D" w:rsidR="00333564" w:rsidRPr="0003189A" w:rsidRDefault="00333564" w:rsidP="00333564">
      <w:pPr>
        <w:pStyle w:val="NoSpacing"/>
        <w:jc w:val="right"/>
        <w:rPr>
          <w:rFonts w:ascii="Calibri" w:eastAsiaTheme="minorHAnsi" w:hAnsi="Calibri" w:cs="Calibri"/>
          <w:sz w:val="24"/>
          <w:szCs w:val="24"/>
          <w:lang w:eastAsia="en-US"/>
        </w:rPr>
      </w:pPr>
      <w:bookmarkStart w:id="0" w:name="_Hlk121341984"/>
      <w:bookmarkEnd w:id="0"/>
      <w:r w:rsidRPr="0003189A">
        <w:rPr>
          <w:rFonts w:ascii="Calibri" w:eastAsiaTheme="minorHAnsi" w:hAnsi="Calibri" w:cs="Calibri"/>
          <w:sz w:val="24"/>
          <w:szCs w:val="24"/>
          <w:lang w:eastAsia="en-US"/>
        </w:rPr>
        <w:t>Anexa 12</w:t>
      </w:r>
    </w:p>
    <w:sdt>
      <w:sdtPr>
        <w:rPr>
          <w:rFonts w:ascii="Calibri" w:eastAsiaTheme="minorHAnsi" w:hAnsi="Calibri" w:cs="Calibri"/>
          <w:sz w:val="24"/>
          <w:szCs w:val="24"/>
          <w:lang w:eastAsia="en-US"/>
        </w:rPr>
        <w:id w:val="671693317"/>
        <w:docPartObj>
          <w:docPartGallery w:val="Cover Pages"/>
          <w:docPartUnique/>
        </w:docPartObj>
      </w:sdtPr>
      <w:sdtContent>
        <w:p w14:paraId="06943217" w14:textId="06AA6873" w:rsidR="00651BFB" w:rsidRPr="0003189A" w:rsidRDefault="00651BFB" w:rsidP="0050426F">
          <w:pPr>
            <w:pStyle w:val="NoSpacing"/>
            <w:jc w:val="both"/>
            <w:rPr>
              <w:rFonts w:ascii="Calibri" w:hAnsi="Calibri" w:cs="Calibri"/>
              <w:sz w:val="24"/>
              <w:szCs w:val="24"/>
            </w:rPr>
          </w:pPr>
        </w:p>
        <w:p w14:paraId="7E525D17" w14:textId="62C13751" w:rsidR="00651BFB" w:rsidRPr="0003189A" w:rsidRDefault="00651BFB"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" filled="f" stroked="f" strokeweight=".5pt">
                    <v:textbox style="mso-fit-shape-to-text:t" inset="0,0,0,0">
                      <w:txbxContent>
                        <w:p w14:paraId="519AE5BA" w14:textId="77777777" w:rsidR="00651BFB" w:rsidRDefault="00000000">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03189A" w:rsidRDefault="001168B5"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000000">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03189A">
            <w:rPr>
              <w:rFonts w:ascii="Calibri" w:hAnsi="Calibri" w:cs="Calibri"/>
              <w:sz w:val="24"/>
              <w:szCs w:val="24"/>
            </w:rPr>
            <w:br w:type="page"/>
          </w:r>
        </w:p>
      </w:sdtContent>
    </w:sdt>
    <w:p w14:paraId="70A58990" w14:textId="7C909346" w:rsidR="00DA386C" w:rsidRPr="0003189A" w:rsidRDefault="00DA386C" w:rsidP="006F13EC">
      <w:pPr>
        <w:spacing w:after="0" w:line="240" w:lineRule="auto"/>
        <w:jc w:val="both"/>
        <w:rPr>
          <w:rFonts w:ascii="Calibri" w:hAnsi="Calibri" w:cs="Calibri"/>
          <w:sz w:val="24"/>
          <w:szCs w:val="24"/>
        </w:rPr>
        <w:sectPr w:rsidR="00DA386C" w:rsidRPr="0003189A" w:rsidSect="00C64959">
          <w:headerReference w:type="default" r:id="rId8"/>
          <w:footerReference w:type="default" r:id="rId9"/>
          <w:footerReference w:type="first" r:id="rId10"/>
          <w:pgSz w:w="11906" w:h="16838"/>
          <w:pgMar w:top="1440" w:right="1440" w:bottom="1440" w:left="1440" w:header="709" w:footer="709" w:gutter="0"/>
          <w:pgNumType w:start="0"/>
          <w:cols w:space="708"/>
          <w:titlePg/>
          <w:docGrid w:linePitch="360"/>
        </w:sectPr>
      </w:pPr>
    </w:p>
    <w:p w14:paraId="5F8D9B5A" w14:textId="199B5266" w:rsidR="001652CF" w:rsidRPr="0003189A" w:rsidRDefault="001652CF" w:rsidP="001652CF">
      <w:pPr>
        <w:spacing w:after="0" w:line="240" w:lineRule="auto"/>
        <w:jc w:val="both"/>
        <w:rPr>
          <w:rFonts w:ascii="Calibri" w:hAnsi="Calibri" w:cs="Calibri"/>
          <w:sz w:val="24"/>
          <w:szCs w:val="24"/>
        </w:rPr>
      </w:pPr>
    </w:p>
    <w:p w14:paraId="4A91D260" w14:textId="474A0D75" w:rsidR="0086178D" w:rsidRPr="0003189A" w:rsidRDefault="00946A45" w:rsidP="00B9529E">
      <w:pPr>
        <w:pStyle w:val="Heading1"/>
        <w:jc w:val="both"/>
        <w:rPr>
          <w:rFonts w:ascii="Calibri" w:hAnsi="Calibri" w:cs="Calibri"/>
          <w:sz w:val="24"/>
          <w:szCs w:val="24"/>
        </w:rPr>
      </w:pPr>
      <w:bookmarkStart w:id="1" w:name="_Toc129085498"/>
      <w:r w:rsidRPr="0003189A">
        <w:rPr>
          <w:rFonts w:ascii="Calibri" w:hAnsi="Calibri" w:cs="Calibri"/>
          <w:sz w:val="24"/>
          <w:szCs w:val="24"/>
        </w:rPr>
        <w:t xml:space="preserve">Măsuri obligatorii și suplimentare privind </w:t>
      </w:r>
      <w:r w:rsidR="009B2518" w:rsidRPr="0003189A">
        <w:rPr>
          <w:rFonts w:ascii="Calibri" w:hAnsi="Calibri" w:cs="Calibri"/>
          <w:sz w:val="24"/>
          <w:szCs w:val="24"/>
        </w:rPr>
        <w:t>asigurarea imunizării climatice</w:t>
      </w:r>
      <w:r w:rsidR="00432C45" w:rsidRPr="0003189A">
        <w:rPr>
          <w:rFonts w:ascii="Calibri" w:hAnsi="Calibri" w:cs="Calibri"/>
          <w:sz w:val="24"/>
          <w:szCs w:val="24"/>
        </w:rPr>
        <w:t xml:space="preserve"> și aplicarea principiului DNSH</w:t>
      </w:r>
      <w:r w:rsidR="009B2518" w:rsidRPr="0003189A">
        <w:rPr>
          <w:rFonts w:ascii="Calibri" w:hAnsi="Calibri" w:cs="Calibri"/>
          <w:sz w:val="24"/>
          <w:szCs w:val="24"/>
        </w:rPr>
        <w:t xml:space="preserve"> </w:t>
      </w:r>
      <w:r w:rsidRPr="0003189A">
        <w:rPr>
          <w:rFonts w:ascii="Calibri" w:hAnsi="Calibri" w:cs="Calibri"/>
          <w:sz w:val="24"/>
          <w:szCs w:val="24"/>
        </w:rPr>
        <w:t>în cadrul proiectelor finanțate prin PR SE</w:t>
      </w:r>
      <w:r w:rsidR="0086178D" w:rsidRPr="0003189A">
        <w:rPr>
          <w:rFonts w:ascii="Calibri" w:hAnsi="Calibri" w:cs="Calibri"/>
          <w:sz w:val="24"/>
          <w:szCs w:val="24"/>
        </w:rPr>
        <w:t>. RSO2.1. Promovarea eficienței energetice și reducerea emisiilor de gaze cu efect de seră (FEDR)</w:t>
      </w:r>
      <w:bookmarkEnd w:id="1"/>
    </w:p>
    <w:p w14:paraId="7EF31BCA" w14:textId="77777777" w:rsidR="0003189A" w:rsidRPr="0003189A" w:rsidRDefault="0003189A" w:rsidP="0003189A">
      <w:pPr>
        <w:rPr>
          <w:rFonts w:ascii="Calibri" w:hAnsi="Calibri" w:cs="Calibri"/>
          <w:sz w:val="24"/>
          <w:szCs w:val="24"/>
        </w:rPr>
      </w:pPr>
    </w:p>
    <w:p w14:paraId="128C552A" w14:textId="77777777" w:rsidR="0003189A" w:rsidRPr="0003189A" w:rsidRDefault="0003189A" w:rsidP="0003189A">
      <w:pPr>
        <w:pStyle w:val="Heading3"/>
        <w:jc w:val="both"/>
        <w:rPr>
          <w:rFonts w:ascii="Calibri" w:hAnsi="Calibri" w:cs="Calibri"/>
        </w:rPr>
      </w:pPr>
      <w:bookmarkStart w:id="2" w:name="_Toc133837487"/>
      <w:r w:rsidRPr="0003189A">
        <w:rPr>
          <w:rFonts w:ascii="Calibri" w:hAnsi="Calibri" w:cs="Calibri"/>
        </w:rPr>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2"/>
    </w:p>
    <w:p w14:paraId="2CABF46A" w14:textId="77777777" w:rsidR="0003189A" w:rsidRPr="0003189A" w:rsidRDefault="0003189A" w:rsidP="0003189A">
      <w:pPr>
        <w:spacing w:after="0"/>
        <w:jc w:val="both"/>
        <w:rPr>
          <w:rFonts w:ascii="Calibri" w:hAnsi="Calibri" w:cs="Calibri"/>
          <w:sz w:val="24"/>
          <w:szCs w:val="24"/>
        </w:rPr>
      </w:pPr>
    </w:p>
    <w:p w14:paraId="5BCC5D46" w14:textId="77777777" w:rsidR="0003189A" w:rsidRPr="0003189A" w:rsidRDefault="0003189A" w:rsidP="0003189A">
      <w:pPr>
        <w:spacing w:after="0"/>
        <w:jc w:val="both"/>
        <w:rPr>
          <w:rFonts w:ascii="Calibri" w:hAnsi="Calibri" w:cs="Calibri"/>
          <w:sz w:val="24"/>
          <w:szCs w:val="24"/>
        </w:rPr>
      </w:pPr>
      <w:r w:rsidRPr="0003189A">
        <w:rPr>
          <w:rFonts w:ascii="Calibri" w:hAnsi="Calibri" w:cs="Calibri"/>
          <w:sz w:val="24"/>
          <w:szCs w:val="24"/>
        </w:rPr>
        <w:t xml:space="preserve">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15% din cap 1,2,4 si 5.1.1), conform Ghidului solicitantului de finanțare.   </w:t>
      </w:r>
    </w:p>
    <w:p w14:paraId="4A232D4E" w14:textId="77777777" w:rsidR="0003189A" w:rsidRPr="0003189A" w:rsidRDefault="0003189A" w:rsidP="0003189A">
      <w:pPr>
        <w:spacing w:after="0"/>
        <w:jc w:val="both"/>
        <w:rPr>
          <w:rFonts w:ascii="Calibri" w:hAnsi="Calibri" w:cs="Calibri"/>
          <w:sz w:val="24"/>
          <w:szCs w:val="24"/>
        </w:rPr>
      </w:pPr>
    </w:p>
    <w:p w14:paraId="428DF23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 xml:space="preserve">4A. Imunizarea infrastructurii la schimbările climatice </w:t>
      </w:r>
    </w:p>
    <w:p w14:paraId="5A92CD06" w14:textId="77777777" w:rsidR="0003189A" w:rsidRPr="0003189A" w:rsidRDefault="0003189A" w:rsidP="0003189A">
      <w:pPr>
        <w:pStyle w:val="Heading4"/>
        <w:rPr>
          <w:rFonts w:ascii="Calibri" w:hAnsi="Calibri" w:cs="Calibri"/>
          <w:sz w:val="24"/>
          <w:szCs w:val="24"/>
        </w:rPr>
      </w:pPr>
      <w:r w:rsidRPr="0003189A">
        <w:rPr>
          <w:rFonts w:ascii="Calibri" w:hAnsi="Calibri" w:cs="Calibri"/>
          <w:sz w:val="24"/>
          <w:szCs w:val="24"/>
        </w:rPr>
        <w:t>Măsuri de atenuare și adaptare la schimbările climatice</w:t>
      </w:r>
    </w:p>
    <w:tbl>
      <w:tblPr>
        <w:tblStyle w:val="TableGrid"/>
        <w:tblW w:w="0" w:type="auto"/>
        <w:tblLook w:val="04A0" w:firstRow="1" w:lastRow="0" w:firstColumn="1" w:lastColumn="0" w:noHBand="0" w:noVBand="1"/>
      </w:tblPr>
      <w:tblGrid>
        <w:gridCol w:w="2264"/>
        <w:gridCol w:w="6752"/>
      </w:tblGrid>
      <w:tr w:rsidR="0003189A" w:rsidRPr="0003189A" w14:paraId="74FAFA9A" w14:textId="77777777" w:rsidTr="00067C18">
        <w:tc>
          <w:tcPr>
            <w:tcW w:w="2263" w:type="dxa"/>
            <w:shd w:val="clear" w:color="auto" w:fill="D9E2F3" w:themeFill="accent1" w:themeFillTint="33"/>
          </w:tcPr>
          <w:p w14:paraId="4CD0483B"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6D6FCC3C"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Măsuri de atenuare - exemple</w:t>
            </w:r>
          </w:p>
        </w:tc>
      </w:tr>
      <w:tr w:rsidR="0003189A" w:rsidRPr="0003189A" w14:paraId="7DD07320" w14:textId="77777777" w:rsidTr="00067C18">
        <w:tc>
          <w:tcPr>
            <w:tcW w:w="2263" w:type="dxa"/>
            <w:tcBorders>
              <w:bottom w:val="single" w:sz="4" w:space="0" w:color="auto"/>
            </w:tcBorders>
          </w:tcPr>
          <w:p w14:paraId="5B6CD9D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Neutralitatea climatică (atenuarea schimbărilor climatice)</w:t>
            </w:r>
          </w:p>
          <w:p w14:paraId="79EEA6C2" w14:textId="77777777" w:rsidR="0003189A" w:rsidRPr="0003189A" w:rsidRDefault="0003189A" w:rsidP="00067C18">
            <w:pPr>
              <w:rPr>
                <w:rFonts w:ascii="Calibri" w:hAnsi="Calibri" w:cs="Calibri"/>
                <w:sz w:val="24"/>
                <w:szCs w:val="24"/>
              </w:rPr>
            </w:pPr>
          </w:p>
        </w:tc>
        <w:tc>
          <w:tcPr>
            <w:tcW w:w="6753" w:type="dxa"/>
            <w:tcBorders>
              <w:bottom w:val="single" w:sz="4" w:space="0" w:color="auto"/>
            </w:tcBorders>
          </w:tcPr>
          <w:p w14:paraId="53805883" w14:textId="77777777" w:rsidR="0003189A" w:rsidRPr="0003189A" w:rsidRDefault="0003189A" w:rsidP="00067C18">
            <w:pPr>
              <w:jc w:val="both"/>
              <w:rPr>
                <w:rFonts w:ascii="Calibri" w:hAnsi="Calibri" w:cs="Calibri"/>
                <w:iCs/>
                <w:sz w:val="24"/>
                <w:szCs w:val="24"/>
              </w:rPr>
            </w:pPr>
            <w:r w:rsidRPr="0003189A">
              <w:rPr>
                <w:rFonts w:ascii="Calibri" w:hAnsi="Calibri" w:cs="Calibri"/>
                <w:iCs/>
                <w:sz w:val="24"/>
                <w:szCs w:val="24"/>
              </w:rPr>
              <w:t>Investițiile într-un program de renovare a clădirilor de la nivel regional, care să contribuie la creșterea eficienței energetice, conduc la o îmbunătățire substanțială a performanței energetice a fondului construit regional și la reducerea semnificativă a emisiilor de gaze cu efect de seră (GES).</w:t>
            </w:r>
            <w:r w:rsidRPr="0003189A">
              <w:rPr>
                <w:rFonts w:ascii="Calibri" w:hAnsi="Calibri" w:cs="Calibri"/>
                <w:sz w:val="24"/>
                <w:szCs w:val="24"/>
              </w:rPr>
              <w:t xml:space="preserve"> </w:t>
            </w:r>
            <w:r w:rsidRPr="0003189A">
              <w:rPr>
                <w:rFonts w:ascii="Calibri" w:hAnsi="Calibri" w:cs="Calibri"/>
                <w:iCs/>
                <w:sz w:val="24"/>
                <w:szCs w:val="24"/>
              </w:rPr>
              <w:t>Renovarea energetică (moderată sau aprofundată) a fondului locativ regional are o influență global pozitivă asupra obiectivelor de mediu. Nu sunt necesare măsuri de atenuare.</w:t>
            </w:r>
          </w:p>
        </w:tc>
      </w:tr>
      <w:tr w:rsidR="0003189A" w:rsidRPr="0003189A" w14:paraId="0FAFBCD5" w14:textId="77777777" w:rsidTr="00067C18">
        <w:trPr>
          <w:trHeight w:val="83"/>
        </w:trPr>
        <w:tc>
          <w:tcPr>
            <w:tcW w:w="9016" w:type="dxa"/>
            <w:gridSpan w:val="2"/>
            <w:shd w:val="clear" w:color="auto" w:fill="D9E2F3" w:themeFill="accent1" w:themeFillTint="33"/>
          </w:tcPr>
          <w:p w14:paraId="40DD9526" w14:textId="77777777" w:rsidR="0003189A" w:rsidRPr="0003189A" w:rsidRDefault="0003189A" w:rsidP="00067C18">
            <w:pPr>
              <w:jc w:val="center"/>
              <w:rPr>
                <w:rFonts w:ascii="Calibri" w:hAnsi="Calibri" w:cs="Calibri"/>
                <w:b/>
                <w:bCs/>
                <w:sz w:val="24"/>
                <w:szCs w:val="24"/>
              </w:rPr>
            </w:pPr>
            <w:r w:rsidRPr="0003189A">
              <w:rPr>
                <w:rFonts w:ascii="Calibri" w:hAnsi="Calibri" w:cs="Calibri"/>
                <w:b/>
                <w:bCs/>
                <w:sz w:val="24"/>
                <w:szCs w:val="24"/>
              </w:rPr>
              <w:t>Măsuri de adaptare la schimbările climatice - exemple</w:t>
            </w:r>
          </w:p>
        </w:tc>
      </w:tr>
      <w:tr w:rsidR="0003189A" w:rsidRPr="0003189A" w14:paraId="140C5C1C" w14:textId="77777777" w:rsidTr="00067C18">
        <w:trPr>
          <w:trHeight w:val="78"/>
        </w:trPr>
        <w:tc>
          <w:tcPr>
            <w:tcW w:w="2263" w:type="dxa"/>
          </w:tcPr>
          <w:p w14:paraId="63EBEB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Cutremure/alunecări de teren</w:t>
            </w:r>
          </w:p>
        </w:tc>
        <w:tc>
          <w:tcPr>
            <w:tcW w:w="6753" w:type="dxa"/>
          </w:tcPr>
          <w:p w14:paraId="6CBD43CE"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Consolidarea structurii clădirii</w:t>
            </w:r>
          </w:p>
          <w:p w14:paraId="33DF2E9F"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lastRenderedPageBreak/>
              <w:t>Utilizarea de materiale ignifuge pentru reducerea riscurilor pentru clădire și pentru ocupanți în cazul unui incendiu declanșat de un cutremur</w:t>
            </w:r>
          </w:p>
        </w:tc>
      </w:tr>
      <w:tr w:rsidR="0003189A" w:rsidRPr="0003189A" w14:paraId="64D7BC9E" w14:textId="77777777" w:rsidTr="00067C18">
        <w:trPr>
          <w:trHeight w:val="78"/>
        </w:trPr>
        <w:tc>
          <w:tcPr>
            <w:tcW w:w="2263" w:type="dxa"/>
          </w:tcPr>
          <w:p w14:paraId="3936698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Inundații</w:t>
            </w:r>
          </w:p>
        </w:tc>
        <w:tc>
          <w:tcPr>
            <w:tcW w:w="6753" w:type="dxa"/>
          </w:tcPr>
          <w:p w14:paraId="777C15B8"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Îmbunătățirea sistemului de drenare (jgheaburi sau țevi de drenaj, și/sau crearea unui sistem de drenaj pluvial pentru a îndepărta apa de clădire)</w:t>
            </w:r>
          </w:p>
          <w:p w14:paraId="6E5A2954"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 xml:space="preserve">Impermeabilizarea adecvată a fundației și a subsolului pentru a preveni pătrunderea apei în interiorul clădirii. </w:t>
            </w:r>
          </w:p>
          <w:p w14:paraId="13F07487"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Înălțarea pardoselilor pentru a preveni deteriorarea structurii și a obiectelor de valoare din interiorul clădirii.</w:t>
            </w:r>
          </w:p>
          <w:p w14:paraId="0AB32002"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Utilizarea de materiale rezistente la apă (de exemplu plăci de gips-carton sau vopsele rezistente la apă).</w:t>
            </w:r>
          </w:p>
          <w:p w14:paraId="14DFB2B6"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Instalarea unui sistem de avertizare timpurie.</w:t>
            </w:r>
          </w:p>
        </w:tc>
      </w:tr>
      <w:tr w:rsidR="0003189A" w:rsidRPr="0003189A" w14:paraId="53DD5379" w14:textId="77777777" w:rsidTr="00067C18">
        <w:trPr>
          <w:trHeight w:val="1778"/>
        </w:trPr>
        <w:tc>
          <w:tcPr>
            <w:tcW w:w="2263" w:type="dxa"/>
          </w:tcPr>
          <w:p w14:paraId="436BE4B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Secetă</w:t>
            </w:r>
          </w:p>
        </w:tc>
        <w:tc>
          <w:tcPr>
            <w:tcW w:w="6753" w:type="dxa"/>
          </w:tcPr>
          <w:p w14:paraId="1D315EB4"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Utilizarea aparatelor de răcire și încălzire eficiente din punct de vedere energetic.</w:t>
            </w:r>
          </w:p>
          <w:p w14:paraId="0A0AD14C"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 xml:space="preserve">Utilizarea de materiale cu reflectanță solară pentru acoperiș pentru a reduce necesitatea de utilizare a sistemelor de încălzire și răcire și, implicit, consumul de apă. </w:t>
            </w:r>
          </w:p>
          <w:p w14:paraId="5C0C0309"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Instalarea de sisteme de colectare a apei de ploaie și bazine de stocare pentru reducerea consumului de apă – acolo unde este posibil</w:t>
            </w:r>
          </w:p>
        </w:tc>
      </w:tr>
      <w:tr w:rsidR="0003189A" w:rsidRPr="0003189A" w14:paraId="4EDDFC6C" w14:textId="77777777" w:rsidTr="00067C18">
        <w:trPr>
          <w:trHeight w:val="78"/>
        </w:trPr>
        <w:tc>
          <w:tcPr>
            <w:tcW w:w="2263" w:type="dxa"/>
          </w:tcPr>
          <w:p w14:paraId="6CD835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Incendii de vegetație/de pădure</w:t>
            </w:r>
          </w:p>
        </w:tc>
        <w:tc>
          <w:tcPr>
            <w:tcW w:w="6753" w:type="dxa"/>
          </w:tcPr>
          <w:p w14:paraId="3D901D31"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Utilizarea de materiale ignifuge (plăci de gips carton ignifuge, vată minerală bazaltică, mortare ignifuge, vopsele ignifuge, materiale compozite etc).</w:t>
            </w:r>
          </w:p>
          <w:p w14:paraId="5CBCB7A4"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Montarea de sprinklere.</w:t>
            </w:r>
          </w:p>
        </w:tc>
      </w:tr>
      <w:tr w:rsidR="0003189A" w:rsidRPr="0003189A" w14:paraId="6EB6A930" w14:textId="77777777" w:rsidTr="00067C18">
        <w:trPr>
          <w:trHeight w:val="78"/>
        </w:trPr>
        <w:tc>
          <w:tcPr>
            <w:tcW w:w="2263" w:type="dxa"/>
          </w:tcPr>
          <w:p w14:paraId="3529A00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Înzăpeziri</w:t>
            </w:r>
          </w:p>
        </w:tc>
        <w:tc>
          <w:tcPr>
            <w:tcW w:w="6753" w:type="dxa"/>
          </w:tcPr>
          <w:p w14:paraId="18EC78B2"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Proiectarea infrastructurii conform standardelor și normativelor în vigoare (pentru a face față cantității de zăpadă care se așteaptă în zona respectivă)</w:t>
            </w:r>
          </w:p>
          <w:p w14:paraId="42DF03D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materiale rezistente la îngheț</w:t>
            </w:r>
          </w:p>
          <w:p w14:paraId="00A2BA9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Montarea de sisteme de încălzire a acoperișului </w:t>
            </w:r>
          </w:p>
          <w:p w14:paraId="7DDC7C1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Utilizarea de izolații termice de calitate superioară pentru reducerea pierderilor de căldură prin acoperiș și pereți </w:t>
            </w:r>
          </w:p>
          <w:p w14:paraId="0E9113F0"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sisteme de detectare a zăpezi</w:t>
            </w:r>
          </w:p>
        </w:tc>
      </w:tr>
      <w:tr w:rsidR="0003189A" w:rsidRPr="0003189A" w14:paraId="1387AA3A" w14:textId="77777777" w:rsidTr="00067C18">
        <w:trPr>
          <w:trHeight w:val="78"/>
        </w:trPr>
        <w:tc>
          <w:tcPr>
            <w:tcW w:w="2263" w:type="dxa"/>
          </w:tcPr>
          <w:p w14:paraId="70858FD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Variații mari de temperatură îngheț-dezgheț sau vreme extremă</w:t>
            </w:r>
          </w:p>
        </w:tc>
        <w:tc>
          <w:tcPr>
            <w:tcW w:w="6753" w:type="dxa"/>
          </w:tcPr>
          <w:p w14:paraId="4EEB4F05"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Utilizarea de materiale rezistente la temperaturi extreme</w:t>
            </w:r>
          </w:p>
          <w:p w14:paraId="344343AA"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Montarea de sisteme de ventilare și de aerisire pentru menținerea unei circulații bune a aerului în interiorul clădirii</w:t>
            </w:r>
          </w:p>
        </w:tc>
      </w:tr>
    </w:tbl>
    <w:p w14:paraId="569A21E6" w14:textId="77777777" w:rsidR="0003189A" w:rsidRPr="0003189A" w:rsidRDefault="0003189A" w:rsidP="0003189A">
      <w:pPr>
        <w:rPr>
          <w:rFonts w:ascii="Calibri" w:hAnsi="Calibri" w:cs="Calibri"/>
          <w:sz w:val="24"/>
          <w:szCs w:val="24"/>
        </w:rPr>
      </w:pPr>
    </w:p>
    <w:p w14:paraId="7213628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lastRenderedPageBreak/>
        <w:t>4B. Respectarea principiului DNSH</w:t>
      </w:r>
    </w:p>
    <w:p w14:paraId="6CB88792"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03189A" w:rsidRPr="0003189A" w14:paraId="630D8A40" w14:textId="77777777" w:rsidTr="00067C18">
        <w:tc>
          <w:tcPr>
            <w:tcW w:w="2263" w:type="dxa"/>
            <w:shd w:val="clear" w:color="auto" w:fill="D9E2F3" w:themeFill="accent1" w:themeFillTint="33"/>
          </w:tcPr>
          <w:p w14:paraId="7E35EFD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763ED20F"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obligatorii </w:t>
            </w:r>
          </w:p>
        </w:tc>
      </w:tr>
      <w:tr w:rsidR="0003189A" w:rsidRPr="0003189A" w14:paraId="143EE5FF" w14:textId="77777777" w:rsidTr="00067C18">
        <w:tc>
          <w:tcPr>
            <w:tcW w:w="2263" w:type="dxa"/>
          </w:tcPr>
          <w:p w14:paraId="197D9C6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Atenuarea schimbărilor climatice</w:t>
            </w:r>
          </w:p>
          <w:p w14:paraId="02E51AFF" w14:textId="77777777" w:rsidR="0003189A" w:rsidRPr="0003189A" w:rsidRDefault="0003189A" w:rsidP="00067C18">
            <w:pPr>
              <w:spacing w:line="276" w:lineRule="auto"/>
              <w:ind w:left="2" w:hanging="2"/>
              <w:jc w:val="both"/>
              <w:rPr>
                <w:rFonts w:ascii="Calibri" w:hAnsi="Calibri" w:cs="Calibri"/>
                <w:sz w:val="24"/>
                <w:szCs w:val="24"/>
              </w:rPr>
            </w:pPr>
          </w:p>
          <w:p w14:paraId="2A494F60" w14:textId="77777777" w:rsidR="0003189A" w:rsidRPr="0003189A" w:rsidRDefault="0003189A" w:rsidP="00067C18">
            <w:pPr>
              <w:spacing w:line="276" w:lineRule="auto"/>
              <w:ind w:left="2" w:hanging="2"/>
              <w:jc w:val="both"/>
              <w:rPr>
                <w:rFonts w:ascii="Calibri" w:hAnsi="Calibri" w:cs="Calibri"/>
                <w:sz w:val="24"/>
                <w:szCs w:val="24"/>
              </w:rPr>
            </w:pPr>
          </w:p>
          <w:p w14:paraId="5976EC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c>
          <w:tcPr>
            <w:tcW w:w="6753" w:type="dxa"/>
          </w:tcPr>
          <w:p w14:paraId="42500E3C"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Nu se aplică. 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w:t>
            </w:r>
          </w:p>
        </w:tc>
      </w:tr>
      <w:tr w:rsidR="0003189A" w:rsidRPr="0003189A" w14:paraId="16771D69" w14:textId="77777777" w:rsidTr="00067C18">
        <w:tc>
          <w:tcPr>
            <w:tcW w:w="2263" w:type="dxa"/>
          </w:tcPr>
          <w:p w14:paraId="4C0A25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p w14:paraId="3C3D4802" w14:textId="77777777" w:rsidR="0003189A" w:rsidRPr="0003189A" w:rsidRDefault="0003189A" w:rsidP="00067C18">
            <w:pPr>
              <w:rPr>
                <w:rFonts w:ascii="Calibri" w:hAnsi="Calibri" w:cs="Calibri"/>
                <w:sz w:val="24"/>
                <w:szCs w:val="24"/>
              </w:rPr>
            </w:pPr>
          </w:p>
        </w:tc>
        <w:tc>
          <w:tcPr>
            <w:tcW w:w="6753" w:type="dxa"/>
          </w:tcPr>
          <w:p w14:paraId="1600431B"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Utilizarea de materiale pentru optimizarea dispersiei căldurii, tehnici de construcție care să îmbunătățească rezistența clădirii în fața dezastrelor naturale.</w:t>
            </w:r>
          </w:p>
          <w:p w14:paraId="231B162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Instalarea de soluții tehnologice pentru monitorizarea condițiilor termice și sisteme optimizate care să mențină o temperatură constantă în clădire</w:t>
            </w:r>
          </w:p>
          <w:p w14:paraId="612D007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Utlizarea de vopseluri cu un grad mare de reflexivitate termică pentru pereții exteriori</w:t>
            </w:r>
          </w:p>
        </w:tc>
      </w:tr>
      <w:tr w:rsidR="0003189A" w:rsidRPr="0003189A" w14:paraId="44B09870" w14:textId="77777777" w:rsidTr="00067C18">
        <w:tc>
          <w:tcPr>
            <w:tcW w:w="2263" w:type="dxa"/>
          </w:tcPr>
          <w:p w14:paraId="72B0129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p w14:paraId="67C7308E" w14:textId="77777777" w:rsidR="0003189A" w:rsidRPr="0003189A" w:rsidRDefault="0003189A" w:rsidP="00067C18">
            <w:pPr>
              <w:rPr>
                <w:rFonts w:ascii="Calibri" w:hAnsi="Calibri" w:cs="Calibri"/>
                <w:sz w:val="24"/>
                <w:szCs w:val="24"/>
              </w:rPr>
            </w:pPr>
          </w:p>
        </w:tc>
        <w:tc>
          <w:tcPr>
            <w:tcW w:w="6753" w:type="dxa"/>
          </w:tcPr>
          <w:p w14:paraId="5F9EACD9" w14:textId="77777777" w:rsidR="0003189A" w:rsidRPr="0003189A" w:rsidRDefault="0003189A" w:rsidP="00067C18">
            <w:pPr>
              <w:rPr>
                <w:rFonts w:ascii="Calibri" w:hAnsi="Calibri" w:cs="Calibri"/>
                <w:sz w:val="24"/>
                <w:szCs w:val="24"/>
              </w:rPr>
            </w:pPr>
            <w:r w:rsidRPr="0003189A">
              <w:rPr>
                <w:rFonts w:ascii="Calibri" w:hAnsi="Calibri" w:cs="Calibri"/>
                <w:i/>
                <w:iCs/>
                <w:sz w:val="24"/>
                <w:szCs w:val="24"/>
              </w:rPr>
              <w:t>În timpul lucrărilor de execuție, conform legislației naționale privind protecția mediului nu vor fi deversate ape uzate, reziduuri sau deșeuri de orice fel în apele de suprafață sau subterane, pe sol sau în subsol</w:t>
            </w:r>
          </w:p>
          <w:p w14:paraId="6559E4EF"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Se vor respecta condițiile impuse de legislația în vigoare și acordurile de mediu pentru fiecare proiect. </w:t>
            </w:r>
          </w:p>
        </w:tc>
      </w:tr>
      <w:tr w:rsidR="0003189A" w:rsidRPr="0003189A" w14:paraId="793236AC" w14:textId="77777777" w:rsidTr="00067C18">
        <w:tc>
          <w:tcPr>
            <w:tcW w:w="2263" w:type="dxa"/>
          </w:tcPr>
          <w:p w14:paraId="45D4E4F1"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p w14:paraId="135FCCBE" w14:textId="77777777" w:rsidR="0003189A" w:rsidRPr="0003189A" w:rsidRDefault="0003189A" w:rsidP="00067C18">
            <w:pPr>
              <w:rPr>
                <w:rFonts w:ascii="Calibri" w:hAnsi="Calibri" w:cs="Calibri"/>
                <w:sz w:val="24"/>
                <w:szCs w:val="24"/>
              </w:rPr>
            </w:pPr>
          </w:p>
        </w:tc>
        <w:tc>
          <w:tcPr>
            <w:tcW w:w="6753" w:type="dxa"/>
          </w:tcPr>
          <w:p w14:paraId="5D3E4AAC"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39C3846C"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Utilizarea de materiale durabile pentru reabilitare</w:t>
            </w:r>
            <w:r w:rsidRPr="0003189A">
              <w:rPr>
                <w:rStyle w:val="FootnoteReference"/>
                <w:rFonts w:ascii="Calibri" w:hAnsi="Calibri" w:cs="Calibri"/>
                <w:sz w:val="24"/>
                <w:szCs w:val="24"/>
              </w:rPr>
              <w:footnoteReference w:id="1"/>
            </w:r>
            <w:r w:rsidRPr="0003189A">
              <w:rPr>
                <w:rFonts w:ascii="Calibri" w:hAnsi="Calibri" w:cs="Calibri"/>
                <w:sz w:val="24"/>
                <w:szCs w:val="24"/>
              </w:rPr>
              <w:t xml:space="preserve"> care să crească longevitatea clădirii și să reducă necesitatea de intervenții de reabilitare în viitor.</w:t>
            </w:r>
          </w:p>
          <w:p w14:paraId="1CBBF835"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 xml:space="preserve">Instalarea de echipamente durabile destinate producției din surse regenerabile, cu potențial ridicat  de reparare și reciclare </w:t>
            </w:r>
          </w:p>
          <w:p w14:paraId="722DBBFA" w14:textId="77777777" w:rsidR="0003189A" w:rsidRPr="0003189A" w:rsidRDefault="0003189A">
            <w:pPr>
              <w:pStyle w:val="ListParagraph"/>
              <w:numPr>
                <w:ilvl w:val="0"/>
                <w:numId w:val="8"/>
              </w:numPr>
              <w:jc w:val="both"/>
              <w:rPr>
                <w:rFonts w:ascii="Calibri" w:hAnsi="Calibri" w:cs="Calibri"/>
                <w:sz w:val="24"/>
                <w:szCs w:val="24"/>
              </w:rPr>
            </w:pPr>
            <w:r w:rsidRPr="0003189A">
              <w:rPr>
                <w:rFonts w:ascii="Calibri" w:hAnsi="Calibri" w:cs="Calibri"/>
                <w:sz w:val="24"/>
                <w:szCs w:val="24"/>
              </w:rPr>
              <w:t xml:space="preserve">Deșeurile generate în timpul execuției trebuie gestionate corespunzător prin reciclare sau eliminare în conformitate cu legislația în vigoare. Deşeurile generate în urma proiectelor de investiţii, în toate etapele acestuia, vor fi depozitate temporar doar pe suprafeţe special amenajate în acest sens. Executantul lucrării va semna un contract cu un operator pentru reciclarea deșeurilor rezultate. 70 % (în greutate) din deșeurile nepericuloase provenite din activități de construcție și demolări </w:t>
            </w:r>
            <w:r w:rsidRPr="0003189A">
              <w:rPr>
                <w:rFonts w:ascii="Calibri" w:hAnsi="Calibri" w:cs="Calibri"/>
                <w:sz w:val="24"/>
                <w:szCs w:val="24"/>
              </w:rPr>
              <w:lastRenderedPageBreak/>
              <w:t>și generate pe șantier sunt pregătite pentru reutilizare, reciclare și alte operațiuni de valorificare. 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w:t>
            </w:r>
          </w:p>
          <w:p w14:paraId="5F9164E6"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Se vor face raportări ale cantității de deșeuri generate atât în perioada de execuție cât și în cea de exploatare.</w:t>
            </w:r>
          </w:p>
          <w:p w14:paraId="67D8A7CA" w14:textId="77777777" w:rsidR="0003189A" w:rsidRPr="0003189A" w:rsidRDefault="0003189A">
            <w:pPr>
              <w:pStyle w:val="ListParagraph"/>
              <w:numPr>
                <w:ilvl w:val="0"/>
                <w:numId w:val="7"/>
              </w:numPr>
              <w:rPr>
                <w:rFonts w:ascii="Calibri" w:hAnsi="Calibri" w:cs="Calibri"/>
                <w:sz w:val="24"/>
                <w:szCs w:val="24"/>
              </w:rPr>
            </w:pPr>
            <w:r w:rsidRPr="0003189A">
              <w:rPr>
                <w:rFonts w:ascii="Calibri" w:hAnsi="Calibri" w:cs="Calibri"/>
                <w:sz w:val="24"/>
                <w:szCs w:val="24"/>
              </w:rPr>
              <w:t>În cazul achiziției de echipamente noi solicitantul este obligat să semneze un contract cu un operator pentru reciclarea deșeurilor de hârtie, metal, materiale plastice, sticlă, DEEE-uri provenite din înlocuirea echipamentelor</w:t>
            </w:r>
          </w:p>
          <w:p w14:paraId="7DA9E139" w14:textId="77777777" w:rsidR="0003189A" w:rsidRPr="0003189A" w:rsidRDefault="0003189A">
            <w:pPr>
              <w:pStyle w:val="ListParagraph"/>
              <w:numPr>
                <w:ilvl w:val="0"/>
                <w:numId w:val="7"/>
              </w:numPr>
              <w:jc w:val="both"/>
              <w:rPr>
                <w:rFonts w:ascii="Calibri" w:hAnsi="Calibri" w:cs="Calibri"/>
                <w:sz w:val="24"/>
                <w:szCs w:val="24"/>
              </w:rPr>
            </w:pPr>
            <w:r w:rsidRPr="0003189A">
              <w:rPr>
                <w:rFonts w:ascii="Calibri" w:hAnsi="Calibri" w:cs="Calibri"/>
                <w:sz w:val="24"/>
                <w:szCs w:val="24"/>
              </w:rPr>
              <w:t xml:space="preserve">Deșeurile rezultate din activitățile de operare/întreținere vor fi gestionate similar cu deşeurile generate în perioada de construcţie. </w:t>
            </w:r>
          </w:p>
        </w:tc>
      </w:tr>
      <w:tr w:rsidR="0003189A" w:rsidRPr="0003189A" w14:paraId="4913A6D2" w14:textId="77777777" w:rsidTr="00067C18">
        <w:tc>
          <w:tcPr>
            <w:tcW w:w="2263" w:type="dxa"/>
          </w:tcPr>
          <w:p w14:paraId="1668652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Prevenirea și controlul poluării</w:t>
            </w:r>
          </w:p>
          <w:p w14:paraId="3DFCC4E9" w14:textId="77777777" w:rsidR="0003189A" w:rsidRPr="0003189A" w:rsidRDefault="0003189A" w:rsidP="00067C18">
            <w:pPr>
              <w:rPr>
                <w:rFonts w:ascii="Calibri" w:hAnsi="Calibri" w:cs="Calibri"/>
                <w:sz w:val="24"/>
                <w:szCs w:val="24"/>
              </w:rPr>
            </w:pPr>
          </w:p>
        </w:tc>
        <w:tc>
          <w:tcPr>
            <w:tcW w:w="6753" w:type="dxa"/>
          </w:tcPr>
          <w:p w14:paraId="251AE647"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1400FE26"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Măsuri pentru limitarea suprafețelor de teren ocupate temporar (pe durata construcției: de exemplu planificarea prealabilă a șantierului, planificarea riguroasă a timpului, monitorizarea atentă a șantierului etc.;</w:t>
            </w:r>
          </w:p>
          <w:p w14:paraId="0522AECE"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1E98D4C1" w14:textId="77777777" w:rsidR="0003189A" w:rsidRPr="0003189A" w:rsidRDefault="0003189A">
            <w:pPr>
              <w:pStyle w:val="ListParagraph"/>
              <w:numPr>
                <w:ilvl w:val="0"/>
                <w:numId w:val="14"/>
              </w:numPr>
              <w:jc w:val="both"/>
              <w:rPr>
                <w:rFonts w:ascii="Calibri" w:hAnsi="Calibri" w:cs="Calibri"/>
                <w:sz w:val="24"/>
                <w:szCs w:val="24"/>
              </w:rPr>
            </w:pPr>
            <w:r w:rsidRPr="0003189A">
              <w:rPr>
                <w:rFonts w:ascii="Calibri" w:hAnsi="Calibri" w:cs="Calibri"/>
                <w:sz w:val="24"/>
                <w:szCs w:val="24"/>
              </w:rPr>
              <w:t>Utilizarea de materiale adecvate care nu conțin materiale radioactive și care nu favorizează acumularea de radon. Evitarea utilizării materialelor de construcție care conțin substanțe toxice (conform https://ec.europa.eu/sustainable-finance-taxonomy/assets/documents/CCM%20Appendix%20C.pdf)</w:t>
            </w:r>
          </w:p>
          <w:p w14:paraId="6826A144"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2D058D8A"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lastRenderedPageBreak/>
              <w:t>Instalarea de sisteme de filtrare adecvate pentru a preveni poluarea aerului și apei (de exemplu filtre pentru emisiile de gaze sau filtre pentru apa uzată).</w:t>
            </w:r>
          </w:p>
        </w:tc>
      </w:tr>
      <w:tr w:rsidR="0003189A" w:rsidRPr="0003189A" w14:paraId="6C8431B2" w14:textId="77777777" w:rsidTr="00067C18">
        <w:tc>
          <w:tcPr>
            <w:tcW w:w="2263" w:type="dxa"/>
          </w:tcPr>
          <w:p w14:paraId="11F3AF4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Protecția și refacerea biodiversității și a ecosistemelor</w:t>
            </w:r>
          </w:p>
        </w:tc>
        <w:tc>
          <w:tcPr>
            <w:tcW w:w="6753" w:type="dxa"/>
          </w:tcPr>
          <w:p w14:paraId="4C978989" w14:textId="77777777" w:rsidR="0003189A" w:rsidRPr="0003189A" w:rsidRDefault="0003189A">
            <w:pPr>
              <w:pStyle w:val="ListParagraph"/>
              <w:numPr>
                <w:ilvl w:val="0"/>
                <w:numId w:val="9"/>
              </w:numPr>
              <w:rPr>
                <w:rFonts w:ascii="Calibri" w:hAnsi="Calibri" w:cs="Calibri"/>
                <w:sz w:val="24"/>
                <w:szCs w:val="24"/>
              </w:rPr>
            </w:pPr>
            <w:r w:rsidRPr="0003189A">
              <w:rPr>
                <w:rFonts w:ascii="Calibri" w:hAnsi="Calibri" w:cs="Calibri"/>
                <w:sz w:val="24"/>
                <w:szCs w:val="24"/>
              </w:rPr>
              <w:t>Implementarea proiectelor prin păstrarea procentajului de spații verzi și elementelor de cadru natural aferente zonei</w:t>
            </w:r>
          </w:p>
        </w:tc>
      </w:tr>
    </w:tbl>
    <w:p w14:paraId="26736D35" w14:textId="77777777" w:rsidR="0003189A" w:rsidRPr="0003189A" w:rsidRDefault="0003189A" w:rsidP="0003189A">
      <w:pPr>
        <w:rPr>
          <w:rFonts w:ascii="Calibri" w:hAnsi="Calibri" w:cs="Calibri"/>
          <w:sz w:val="24"/>
          <w:szCs w:val="24"/>
        </w:rPr>
      </w:pPr>
    </w:p>
    <w:p w14:paraId="35314154"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03189A" w:rsidRPr="0003189A" w14:paraId="1BCD91FD" w14:textId="77777777" w:rsidTr="00067C18">
        <w:tc>
          <w:tcPr>
            <w:tcW w:w="2122" w:type="dxa"/>
            <w:shd w:val="clear" w:color="auto" w:fill="D9E2F3" w:themeFill="accent1" w:themeFillTint="33"/>
          </w:tcPr>
          <w:p w14:paraId="3DA3FA6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894" w:type="dxa"/>
            <w:shd w:val="clear" w:color="auto" w:fill="D9E2F3" w:themeFill="accent1" w:themeFillTint="33"/>
          </w:tcPr>
          <w:p w14:paraId="56C9EE73"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suplimentare </w:t>
            </w:r>
          </w:p>
        </w:tc>
      </w:tr>
      <w:tr w:rsidR="0003189A" w:rsidRPr="0003189A" w14:paraId="4C775F0E" w14:textId="77777777" w:rsidTr="00067C18">
        <w:tc>
          <w:tcPr>
            <w:tcW w:w="2122" w:type="dxa"/>
          </w:tcPr>
          <w:p w14:paraId="386653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Atenuarea schimbărilor climatice </w:t>
            </w:r>
          </w:p>
        </w:tc>
        <w:tc>
          <w:tcPr>
            <w:tcW w:w="6894" w:type="dxa"/>
          </w:tcPr>
          <w:p w14:paraId="488DFAA2"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 xml:space="preserve">Utilizarea de materiale de construcții eficiente din punct de vedere ecologic, materialele de construcție reciclate, recuperate cu emisii de carbon, </w:t>
            </w:r>
          </w:p>
          <w:p w14:paraId="09D506ED"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Utilizarea de echipamente care utilizează energie regenerabilă, cu excepția biomasei</w:t>
            </w:r>
          </w:p>
        </w:tc>
      </w:tr>
      <w:tr w:rsidR="0003189A" w:rsidRPr="0003189A" w14:paraId="1916CDD5" w14:textId="77777777" w:rsidTr="00067C18">
        <w:tc>
          <w:tcPr>
            <w:tcW w:w="2122" w:type="dxa"/>
          </w:tcPr>
          <w:p w14:paraId="1A86755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tc>
        <w:tc>
          <w:tcPr>
            <w:tcW w:w="6894" w:type="dxa"/>
          </w:tcPr>
          <w:p w14:paraId="334FD7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Plantarea de  vegetație în jurul clădirii care să reducă încălzirea excesivă din timpul verii, să îmbunătățească confortul termic și să reducă necesitatea de climatizare.</w:t>
            </w:r>
          </w:p>
        </w:tc>
      </w:tr>
      <w:tr w:rsidR="0003189A" w:rsidRPr="0003189A" w14:paraId="4A401B27" w14:textId="77777777" w:rsidTr="00067C18">
        <w:tc>
          <w:tcPr>
            <w:tcW w:w="2122" w:type="dxa"/>
          </w:tcPr>
          <w:p w14:paraId="1AE32F9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tc>
        <w:tc>
          <w:tcPr>
            <w:tcW w:w="6894" w:type="dxa"/>
          </w:tcPr>
          <w:p w14:paraId="18A6353D"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Instalarea de sisteme de colectare a apelor pluviale pentru a reduce consumul de apă dulce și a proteja resursele de apă</w:t>
            </w:r>
          </w:p>
          <w:p w14:paraId="3B55162A"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Implementarea de măsuri de reducere a consumului de apă (de exemplu robinete și dușuri eficiente din punct de vedere al apei</w:t>
            </w:r>
          </w:p>
        </w:tc>
      </w:tr>
      <w:tr w:rsidR="0003189A" w:rsidRPr="0003189A" w14:paraId="15D6D826" w14:textId="77777777" w:rsidTr="00067C18">
        <w:tc>
          <w:tcPr>
            <w:tcW w:w="2122" w:type="dxa"/>
          </w:tcPr>
          <w:p w14:paraId="185E957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tc>
        <w:tc>
          <w:tcPr>
            <w:tcW w:w="6894" w:type="dxa"/>
          </w:tcPr>
          <w:p w14:paraId="7F98B817" w14:textId="77777777" w:rsidR="0003189A" w:rsidRPr="0003189A" w:rsidRDefault="0003189A">
            <w:pPr>
              <w:pStyle w:val="ListParagraph"/>
              <w:numPr>
                <w:ilvl w:val="0"/>
                <w:numId w:val="12"/>
              </w:numPr>
              <w:rPr>
                <w:rFonts w:ascii="Calibri" w:hAnsi="Calibri" w:cs="Calibri"/>
                <w:sz w:val="24"/>
                <w:szCs w:val="24"/>
              </w:rPr>
            </w:pPr>
            <w:r w:rsidRPr="0003189A">
              <w:rPr>
                <w:rFonts w:ascii="Calibri" w:hAnsi="Calibri" w:cs="Calibri"/>
                <w:sz w:val="24"/>
                <w:szCs w:val="24"/>
              </w:rPr>
              <w:t>Utilizarea materialelor reciclate (bumbacul reciclat, plasticul reciclat și lemnul reciclat) pentru a reduce dependența de materiale noi și a preveni generarea de deșeuri.</w:t>
            </w:r>
          </w:p>
          <w:p w14:paraId="20DB3D99"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r>
      <w:tr w:rsidR="0003189A" w:rsidRPr="0003189A" w14:paraId="6F7C572F" w14:textId="77777777" w:rsidTr="00067C18">
        <w:tc>
          <w:tcPr>
            <w:tcW w:w="2122" w:type="dxa"/>
          </w:tcPr>
          <w:p w14:paraId="6E2EDA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Prevenirea și controlul poluării</w:t>
            </w:r>
          </w:p>
        </w:tc>
        <w:tc>
          <w:tcPr>
            <w:tcW w:w="6894" w:type="dxa"/>
          </w:tcPr>
          <w:p w14:paraId="168D0919"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Utilizarea de echipamente cu emisii scăzute de noxe sau optarea pentru utilizarea de echipamente electrice în locul celor care funcționează cu combustibil fosil.</w:t>
            </w:r>
          </w:p>
          <w:p w14:paraId="3BA2CC1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Punerea în aplicare a unor planuri de management al traficului pe toată durata lucrărilor de construcție</w:t>
            </w:r>
          </w:p>
        </w:tc>
      </w:tr>
      <w:tr w:rsidR="0003189A" w:rsidRPr="0003189A" w14:paraId="0FB8EEA6" w14:textId="77777777" w:rsidTr="00067C18">
        <w:tc>
          <w:tcPr>
            <w:tcW w:w="2122" w:type="dxa"/>
          </w:tcPr>
          <w:p w14:paraId="102995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Protecția și refacerea biodiversității și a ecosistemelor</w:t>
            </w:r>
          </w:p>
        </w:tc>
        <w:tc>
          <w:tcPr>
            <w:tcW w:w="6894" w:type="dxa"/>
          </w:tcPr>
          <w:p w14:paraId="264D610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Instalarea de elemente verzi, cum ar fi acoperișuri verzi sau perdele verzi pe fațade, care pot ajuta la refacerea biodiversității și a ecosistemelor. </w:t>
            </w:r>
          </w:p>
          <w:p w14:paraId="0190166C" w14:textId="77777777" w:rsidR="0003189A" w:rsidRPr="0003189A" w:rsidRDefault="0003189A" w:rsidP="00067C18">
            <w:pPr>
              <w:rPr>
                <w:rFonts w:ascii="Calibri" w:hAnsi="Calibri" w:cs="Calibri"/>
                <w:sz w:val="24"/>
                <w:szCs w:val="24"/>
              </w:rPr>
            </w:pPr>
          </w:p>
        </w:tc>
      </w:tr>
    </w:tbl>
    <w:p w14:paraId="44A81FBC" w14:textId="77777777" w:rsidR="0003189A" w:rsidRPr="0003189A" w:rsidRDefault="0003189A" w:rsidP="0003189A">
      <w:pPr>
        <w:jc w:val="both"/>
        <w:rPr>
          <w:rFonts w:ascii="Calibri" w:hAnsi="Calibri" w:cs="Calibri"/>
          <w:sz w:val="24"/>
          <w:szCs w:val="24"/>
        </w:rPr>
        <w:sectPr w:rsidR="0003189A" w:rsidRPr="0003189A" w:rsidSect="00382513">
          <w:headerReference w:type="default" r:id="rId11"/>
          <w:footerReference w:type="default" r:id="rId12"/>
          <w:headerReference w:type="first" r:id="rId13"/>
          <w:footerReference w:type="first" r:id="rId14"/>
          <w:pgSz w:w="11906" w:h="16838"/>
          <w:pgMar w:top="1440" w:right="1440" w:bottom="1440" w:left="1440" w:header="708" w:footer="708" w:gutter="0"/>
          <w:pgNumType w:start="0"/>
          <w:cols w:space="708"/>
          <w:titlePg/>
          <w:docGrid w:linePitch="360"/>
        </w:sectPr>
      </w:pPr>
    </w:p>
    <w:p w14:paraId="2281540B" w14:textId="77777777" w:rsidR="0093763E" w:rsidRPr="0003189A" w:rsidRDefault="0093763E" w:rsidP="00A42050">
      <w:pPr>
        <w:pStyle w:val="Heading1"/>
        <w:jc w:val="both"/>
        <w:rPr>
          <w:rFonts w:ascii="Calibri" w:hAnsi="Calibri" w:cs="Calibri"/>
          <w:sz w:val="24"/>
          <w:szCs w:val="24"/>
        </w:rPr>
      </w:pPr>
    </w:p>
    <w:sectPr w:rsidR="0093763E" w:rsidRPr="0003189A" w:rsidSect="00382513">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3C27A" w14:textId="77777777" w:rsidR="001F46C2" w:rsidRDefault="001F46C2" w:rsidP="001168B5">
      <w:pPr>
        <w:spacing w:after="0" w:line="240" w:lineRule="auto"/>
      </w:pPr>
      <w:r>
        <w:separator/>
      </w:r>
    </w:p>
  </w:endnote>
  <w:endnote w:type="continuationSeparator" w:id="0">
    <w:p w14:paraId="2A742DAC" w14:textId="77777777" w:rsidR="001F46C2" w:rsidRDefault="001F46C2"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825185"/>
      <w:docPartObj>
        <w:docPartGallery w:val="Page Numbers (Bottom of Page)"/>
        <w:docPartUnique/>
      </w:docPartObj>
    </w:sdtPr>
    <w:sdtEndPr>
      <w:rPr>
        <w:noProof/>
      </w:rPr>
    </w:sdtEndPr>
    <w:sdtContent>
      <w:p w14:paraId="55F5AD54" w14:textId="2C900E7B" w:rsidR="00C64959" w:rsidRDefault="00C649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9CCD26" w14:textId="77777777" w:rsidR="00C64959" w:rsidRDefault="00C64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735943"/>
      <w:docPartObj>
        <w:docPartGallery w:val="Page Numbers (Bottom of Page)"/>
        <w:docPartUnique/>
      </w:docPartObj>
    </w:sdtPr>
    <w:sdtContent>
      <w:p w14:paraId="2F02227D" w14:textId="77777777" w:rsidR="00DA386C" w:rsidRDefault="00DA386C">
        <w:pPr>
          <w:pStyle w:val="Footer"/>
          <w:jc w:val="right"/>
        </w:pPr>
        <w:r>
          <w:fldChar w:fldCharType="begin"/>
        </w:r>
        <w:r>
          <w:instrText>PAGE   \* MERGEFORMAT</w:instrText>
        </w:r>
        <w:r>
          <w:fldChar w:fldCharType="separate"/>
        </w:r>
        <w:r>
          <w:rPr>
            <w:noProof/>
          </w:rPr>
          <w:t>17</w:t>
        </w:r>
        <w:r>
          <w:fldChar w:fldCharType="end"/>
        </w:r>
      </w:p>
    </w:sdtContent>
  </w:sdt>
  <w:p w14:paraId="7FF1DC70" w14:textId="77777777" w:rsidR="00DA386C" w:rsidRDefault="00DA386C" w:rsidP="00794D58">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753720"/>
      <w:docPartObj>
        <w:docPartGallery w:val="Page Numbers (Bottom of Page)"/>
        <w:docPartUnique/>
      </w:docPartObj>
    </w:sdtPr>
    <w:sdtContent>
      <w:p w14:paraId="4BDD987C" w14:textId="77777777" w:rsidR="0003189A" w:rsidRDefault="0003189A">
        <w:pPr>
          <w:pStyle w:val="Footer"/>
          <w:jc w:val="right"/>
        </w:pPr>
        <w:r>
          <w:fldChar w:fldCharType="begin"/>
        </w:r>
        <w:r>
          <w:instrText>PAGE   \* MERGEFORMAT</w:instrText>
        </w:r>
        <w:r>
          <w:fldChar w:fldCharType="separate"/>
        </w:r>
        <w:r>
          <w:rPr>
            <w:noProof/>
          </w:rPr>
          <w:t>3</w:t>
        </w:r>
        <w:r>
          <w:rPr>
            <w:noProof/>
          </w:rPr>
          <w:t>3</w:t>
        </w:r>
        <w:r>
          <w:fldChar w:fldCharType="end"/>
        </w:r>
      </w:p>
    </w:sdtContent>
  </w:sdt>
  <w:p w14:paraId="0F2FB8F2" w14:textId="77777777" w:rsidR="0003189A" w:rsidRDefault="000318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A9A3" w14:textId="77777777" w:rsidR="0003189A" w:rsidRDefault="0003189A" w:rsidP="00794D58">
    <w:pPr>
      <w:pStyle w:val="Footer"/>
      <w:jc w:val="right"/>
    </w:pPr>
    <w: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86B84" w14:textId="77777777" w:rsidR="001F46C2" w:rsidRDefault="001F46C2" w:rsidP="001168B5">
      <w:pPr>
        <w:spacing w:after="0" w:line="240" w:lineRule="auto"/>
      </w:pPr>
      <w:r>
        <w:separator/>
      </w:r>
    </w:p>
  </w:footnote>
  <w:footnote w:type="continuationSeparator" w:id="0">
    <w:p w14:paraId="1A3BCADF" w14:textId="77777777" w:rsidR="001F46C2" w:rsidRDefault="001F46C2" w:rsidP="001168B5">
      <w:pPr>
        <w:spacing w:after="0" w:line="240" w:lineRule="auto"/>
      </w:pPr>
      <w:r>
        <w:continuationSeparator/>
      </w:r>
    </w:p>
  </w:footnote>
  <w:footnote w:id="1">
    <w:p w14:paraId="00D654F1" w14:textId="77777777" w:rsidR="0003189A" w:rsidRPr="00E405A3" w:rsidRDefault="0003189A" w:rsidP="0003189A">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FDE8" w14:textId="77777777" w:rsidR="00DA386C" w:rsidRDefault="00000000" w:rsidP="001168B5">
    <w:pPr>
      <w:pStyle w:val="Header"/>
      <w:jc w:val="right"/>
      <w:rPr>
        <w:rFonts w:ascii="Arial Narrow" w:hAnsi="Arial Narrow"/>
        <w:noProof/>
        <w:sz w:val="24"/>
        <w:szCs w:val="24"/>
      </w:rPr>
    </w:pPr>
    <w:sdt>
      <w:sdtPr>
        <w:id w:val="-1945220221"/>
        <w:docPartObj>
          <w:docPartGallery w:val="Watermarks"/>
          <w:docPartUnique/>
        </w:docPartObj>
      </w:sdtPr>
      <w:sdtContent>
        <w:r>
          <w:pict w14:anchorId="7A308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397.65pt;height:238.6pt;rotation:315;z-index:-251656192;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1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07"/>
      <w:gridCol w:w="4807"/>
    </w:tblGrid>
    <w:tr w:rsidR="00DA386C" w14:paraId="594B980F" w14:textId="77777777" w:rsidTr="00DA55EF">
      <w:trPr>
        <w:trHeight w:val="316"/>
      </w:trPr>
      <w:tc>
        <w:tcPr>
          <w:tcW w:w="4807" w:type="dxa"/>
        </w:tcPr>
        <w:p w14:paraId="729F5810" w14:textId="77777777" w:rsidR="00DA386C" w:rsidRDefault="00DA386C" w:rsidP="003671F3">
          <w:pPr>
            <w:pStyle w:val="Header"/>
          </w:pPr>
        </w:p>
      </w:tc>
      <w:tc>
        <w:tcPr>
          <w:tcW w:w="4807" w:type="dxa"/>
        </w:tcPr>
        <w:p w14:paraId="66025326" w14:textId="77777777" w:rsidR="00DA386C" w:rsidRDefault="00DA386C" w:rsidP="001168B5">
          <w:pPr>
            <w:pStyle w:val="Header"/>
            <w:jc w:val="right"/>
          </w:pPr>
        </w:p>
      </w:tc>
      <w:tc>
        <w:tcPr>
          <w:tcW w:w="4807" w:type="dxa"/>
        </w:tcPr>
        <w:p w14:paraId="023CC408" w14:textId="77777777" w:rsidR="00DA386C" w:rsidRDefault="00DA386C" w:rsidP="001168B5">
          <w:pPr>
            <w:pStyle w:val="Header"/>
            <w:jc w:val="right"/>
          </w:pPr>
        </w:p>
        <w:p w14:paraId="7039179B" w14:textId="77777777" w:rsidR="00DA386C" w:rsidRDefault="00DA386C" w:rsidP="001168B5">
          <w:pPr>
            <w:pStyle w:val="Header"/>
            <w:jc w:val="right"/>
          </w:pPr>
        </w:p>
      </w:tc>
    </w:tr>
  </w:tbl>
  <w:p w14:paraId="441566DE" w14:textId="77777777" w:rsidR="00DA386C" w:rsidRDefault="00DA386C"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3CA6B" w14:textId="77777777" w:rsidR="0003189A" w:rsidRDefault="0003189A"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03189A" w14:paraId="1AC68460" w14:textId="77777777" w:rsidTr="003671F3">
      <w:trPr>
        <w:trHeight w:val="1289"/>
      </w:trPr>
      <w:tc>
        <w:tcPr>
          <w:tcW w:w="3065" w:type="dxa"/>
        </w:tcPr>
        <w:p w14:paraId="27493BCC" w14:textId="77777777" w:rsidR="0003189A" w:rsidRDefault="0003189A" w:rsidP="003671F3">
          <w:pPr>
            <w:pStyle w:val="Header"/>
          </w:pPr>
          <w:r>
            <w:t>AGENȚIA PENTRU DEZVOLTARE REGIONALĂ A REGIUNII DE DEZVOLTARE SUD EST</w:t>
          </w:r>
        </w:p>
      </w:tc>
      <w:tc>
        <w:tcPr>
          <w:tcW w:w="3065" w:type="dxa"/>
        </w:tcPr>
        <w:p w14:paraId="3F87BB2E" w14:textId="77777777" w:rsidR="0003189A" w:rsidRDefault="0003189A" w:rsidP="00A123CA">
          <w:pPr>
            <w:pStyle w:val="Header"/>
            <w:jc w:val="center"/>
          </w:pPr>
          <w:r>
            <w:t xml:space="preserve">    </w:t>
          </w:r>
        </w:p>
      </w:tc>
      <w:tc>
        <w:tcPr>
          <w:tcW w:w="3065" w:type="dxa"/>
        </w:tcPr>
        <w:p w14:paraId="5524A4C8" w14:textId="77777777" w:rsidR="0003189A" w:rsidRDefault="0003189A" w:rsidP="001168B5">
          <w:pPr>
            <w:pStyle w:val="Header"/>
            <w:jc w:val="right"/>
          </w:pPr>
        </w:p>
        <w:p w14:paraId="79D27B06" w14:textId="77777777" w:rsidR="0003189A" w:rsidRDefault="0003189A" w:rsidP="001168B5">
          <w:pPr>
            <w:pStyle w:val="Header"/>
            <w:jc w:val="right"/>
          </w:pPr>
        </w:p>
      </w:tc>
    </w:tr>
  </w:tbl>
  <w:p w14:paraId="4CD11FA1" w14:textId="77777777" w:rsidR="0003189A" w:rsidRDefault="0003189A" w:rsidP="001168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DBC1" w14:textId="77777777" w:rsidR="0003189A" w:rsidRPr="003142B2" w:rsidRDefault="0003189A" w:rsidP="004B31F5">
    <w:pPr>
      <w:pStyle w:val="Header"/>
      <w:jc w:val="right"/>
      <w:rPr>
        <w:b/>
        <w:bCs/>
      </w:rPr>
    </w:pPr>
    <w:r w:rsidRPr="003142B2">
      <w:rPr>
        <w:b/>
        <w:bCs/>
      </w:rPr>
      <w:t xml:space="preserve">Programul </w:t>
    </w:r>
    <w:r w:rsidRPr="003142B2">
      <w:rPr>
        <w:b/>
        <w:bCs/>
      </w:rPr>
      <w:t>Regional Sud</w:t>
    </w:r>
    <w:r>
      <w:rPr>
        <w:b/>
        <w:bCs/>
      </w:rPr>
      <w:t>-</w:t>
    </w:r>
    <w:r w:rsidRPr="003142B2">
      <w:rPr>
        <w:b/>
        <w:bCs/>
      </w:rPr>
      <w:t>Est</w:t>
    </w:r>
    <w:r>
      <w:rPr>
        <w:b/>
        <w:bCs/>
      </w:rPr>
      <w:t xml:space="preserve"> 2021-2027</w:t>
    </w:r>
  </w:p>
  <w:p w14:paraId="286D56E7" w14:textId="77777777" w:rsidR="0003189A" w:rsidRDefault="0003189A">
    <w:pPr>
      <w:pStyle w:val="Header"/>
    </w:pPr>
  </w:p>
  <w:p w14:paraId="05ABA2F4" w14:textId="77777777" w:rsidR="0003189A" w:rsidRDefault="000318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1430336">
    <w:abstractNumId w:val="4"/>
  </w:num>
  <w:num w:numId="2" w16cid:durableId="840118880">
    <w:abstractNumId w:val="9"/>
  </w:num>
  <w:num w:numId="3" w16cid:durableId="1026248382">
    <w:abstractNumId w:val="12"/>
  </w:num>
  <w:num w:numId="4" w16cid:durableId="48768290">
    <w:abstractNumId w:val="5"/>
  </w:num>
  <w:num w:numId="5" w16cid:durableId="1128548561">
    <w:abstractNumId w:val="10"/>
  </w:num>
  <w:num w:numId="6" w16cid:durableId="1334068779">
    <w:abstractNumId w:val="6"/>
  </w:num>
  <w:num w:numId="7" w16cid:durableId="669991963">
    <w:abstractNumId w:val="11"/>
  </w:num>
  <w:num w:numId="8" w16cid:durableId="1987775487">
    <w:abstractNumId w:val="13"/>
  </w:num>
  <w:num w:numId="9" w16cid:durableId="1655179528">
    <w:abstractNumId w:val="3"/>
  </w:num>
  <w:num w:numId="10" w16cid:durableId="821309042">
    <w:abstractNumId w:val="7"/>
  </w:num>
  <w:num w:numId="11" w16cid:durableId="280117582">
    <w:abstractNumId w:val="2"/>
  </w:num>
  <w:num w:numId="12" w16cid:durableId="251401319">
    <w:abstractNumId w:val="1"/>
  </w:num>
  <w:num w:numId="13" w16cid:durableId="1555968415">
    <w:abstractNumId w:val="8"/>
  </w:num>
  <w:num w:numId="14" w16cid:durableId="170925835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189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46C2"/>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3564"/>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0D51"/>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6F3"/>
    <w:rsid w:val="00A51D00"/>
    <w:rsid w:val="00A52B39"/>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1218"/>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967B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7</Pages>
  <Words>1728</Words>
  <Characters>9852</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Gabriela</cp:lastModifiedBy>
  <cp:revision>30</cp:revision>
  <cp:lastPrinted>2022-12-08T12:57:00Z</cp:lastPrinted>
  <dcterms:created xsi:type="dcterms:W3CDTF">2023-03-02T15:38:00Z</dcterms:created>
  <dcterms:modified xsi:type="dcterms:W3CDTF">2023-05-19T06:35:00Z</dcterms:modified>
  <cp:category>2023</cp:category>
</cp:coreProperties>
</file>